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6176"/>
        <w:gridCol w:w="8674"/>
      </w:tblGrid>
      <w:tr w:rsidR="00E462AD" w:rsidRPr="00315D9E" w14:paraId="0AC87DEF" w14:textId="77777777" w:rsidTr="00760BA4"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AD64" w14:textId="77777777" w:rsidR="00E462AD" w:rsidRPr="00315D9E" w:rsidRDefault="00E462AD" w:rsidP="00760BA4">
            <w:pPr>
              <w:jc w:val="center"/>
              <w:rPr>
                <w:b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F115" w14:textId="2DDE35CB" w:rsidR="00E462AD" w:rsidRPr="00315D9E" w:rsidRDefault="00E462AD" w:rsidP="00E462AD">
            <w:pPr>
              <w:pStyle w:val="grandtitre"/>
            </w:pPr>
          </w:p>
        </w:tc>
      </w:tr>
      <w:tr w:rsidR="00E462AD" w:rsidRPr="00EA7CC2" w14:paraId="20E8F29C" w14:textId="77777777" w:rsidTr="00760BA4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25B" w14:textId="77777777" w:rsidR="00E462AD" w:rsidRPr="00EA7CC2" w:rsidRDefault="00E462AD" w:rsidP="00760BA4">
            <w:pPr>
              <w:jc w:val="center"/>
              <w:rPr>
                <w:b/>
                <w:sz w:val="36"/>
                <w:szCs w:val="36"/>
              </w:rPr>
            </w:pPr>
            <w:r w:rsidRPr="00EA7CC2">
              <w:rPr>
                <w:b/>
                <w:sz w:val="36"/>
                <w:szCs w:val="36"/>
              </w:rPr>
              <w:t>CE N’EST PAS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04D" w14:textId="77777777" w:rsidR="00E462AD" w:rsidRPr="00EA7CC2" w:rsidRDefault="00E462AD" w:rsidP="00760BA4">
            <w:pPr>
              <w:jc w:val="center"/>
              <w:rPr>
                <w:b/>
                <w:sz w:val="36"/>
                <w:szCs w:val="36"/>
              </w:rPr>
            </w:pPr>
            <w:r w:rsidRPr="00EA7CC2">
              <w:rPr>
                <w:b/>
                <w:sz w:val="36"/>
                <w:szCs w:val="36"/>
              </w:rPr>
              <w:t>C’EST</w:t>
            </w:r>
          </w:p>
        </w:tc>
      </w:tr>
      <w:tr w:rsidR="00E462AD" w14:paraId="5CB575C8" w14:textId="77777777" w:rsidTr="00760BA4">
        <w:tc>
          <w:tcPr>
            <w:tcW w:w="6176" w:type="dxa"/>
            <w:tcBorders>
              <w:top w:val="single" w:sz="4" w:space="0" w:color="auto"/>
            </w:tcBorders>
          </w:tcPr>
          <w:p w14:paraId="23B00F3C" w14:textId="77777777" w:rsidR="00E462AD" w:rsidRDefault="00E462AD" w:rsidP="00760BA4">
            <w:r>
              <w:t>Une punition</w:t>
            </w:r>
          </w:p>
        </w:tc>
        <w:tc>
          <w:tcPr>
            <w:tcW w:w="8674" w:type="dxa"/>
            <w:tcBorders>
              <w:top w:val="single" w:sz="4" w:space="0" w:color="auto"/>
            </w:tcBorders>
          </w:tcPr>
          <w:p w14:paraId="34452BFE" w14:textId="77777777" w:rsidR="00E462AD" w:rsidRDefault="00E462AD" w:rsidP="00760BA4">
            <w:r>
              <w:t>Avant tout le choix d’un jeune pour un mode de formation : trouver du sens aux études, au contact d’un métier</w:t>
            </w:r>
          </w:p>
        </w:tc>
      </w:tr>
      <w:tr w:rsidR="00E462AD" w14:paraId="04D5BCDB" w14:textId="77777777" w:rsidTr="00760BA4">
        <w:tc>
          <w:tcPr>
            <w:tcW w:w="6176" w:type="dxa"/>
          </w:tcPr>
          <w:p w14:paraId="38745093" w14:textId="77777777" w:rsidR="00E462AD" w:rsidRDefault="00E462AD" w:rsidP="00760BA4">
            <w:r>
              <w:t>Une logique de stage dans un parcours scolaire</w:t>
            </w:r>
          </w:p>
        </w:tc>
        <w:tc>
          <w:tcPr>
            <w:tcW w:w="8674" w:type="dxa"/>
          </w:tcPr>
          <w:p w14:paraId="6143E5DA" w14:textId="77777777" w:rsidR="00E462AD" w:rsidRDefault="00E462AD" w:rsidP="00760BA4">
            <w:r>
              <w:t>Un  modèle pédagogique intégré qui repose sur les apports en entreprise et au Centre de Formation, centré sur les compétences.</w:t>
            </w:r>
          </w:p>
        </w:tc>
      </w:tr>
      <w:tr w:rsidR="00E462AD" w14:paraId="061C543B" w14:textId="77777777" w:rsidTr="00760BA4">
        <w:tc>
          <w:tcPr>
            <w:tcW w:w="6176" w:type="dxa"/>
          </w:tcPr>
          <w:p w14:paraId="16BADD2D" w14:textId="77777777" w:rsidR="00E462AD" w:rsidRDefault="00E462AD" w:rsidP="00760BA4">
            <w:r>
              <w:t>Que de la transmission de savoir théorique au CFA</w:t>
            </w:r>
          </w:p>
        </w:tc>
        <w:tc>
          <w:tcPr>
            <w:tcW w:w="8674" w:type="dxa"/>
          </w:tcPr>
          <w:p w14:paraId="19C3C2FE" w14:textId="77777777" w:rsidR="00E462AD" w:rsidRDefault="00E462AD" w:rsidP="00760BA4">
            <w:r>
              <w:t>Un expert de ce mode de formation qui descend de son estrade pour accompagner chaque jeune dans son parcours original.</w:t>
            </w:r>
          </w:p>
        </w:tc>
      </w:tr>
      <w:tr w:rsidR="00E462AD" w14:paraId="47A66D2E" w14:textId="77777777" w:rsidTr="00760BA4">
        <w:tc>
          <w:tcPr>
            <w:tcW w:w="6176" w:type="dxa"/>
          </w:tcPr>
          <w:p w14:paraId="07D819A1" w14:textId="77777777" w:rsidR="00E462AD" w:rsidRDefault="00E462AD" w:rsidP="00760BA4">
            <w:r>
              <w:t>La panacée face au chômage des jeunes</w:t>
            </w:r>
          </w:p>
        </w:tc>
        <w:tc>
          <w:tcPr>
            <w:tcW w:w="8674" w:type="dxa"/>
          </w:tcPr>
          <w:p w14:paraId="085BDFD4" w14:textId="3E8BD2D1" w:rsidR="00E462AD" w:rsidRDefault="0095165E" w:rsidP="00760BA4">
            <w:r>
              <w:t>Un mode</w:t>
            </w:r>
            <w:r w:rsidR="00E462AD">
              <w:t xml:space="preserve"> </w:t>
            </w:r>
            <w:bookmarkStart w:id="0" w:name="_GoBack"/>
            <w:bookmarkEnd w:id="0"/>
            <w:r w:rsidR="00E462AD">
              <w:t>de formation initiale particulièrement efficace en terme d’insertion professionnelle.</w:t>
            </w:r>
          </w:p>
        </w:tc>
      </w:tr>
      <w:tr w:rsidR="00E462AD" w14:paraId="07D23E56" w14:textId="77777777" w:rsidTr="00760BA4">
        <w:tc>
          <w:tcPr>
            <w:tcW w:w="6176" w:type="dxa"/>
          </w:tcPr>
          <w:p w14:paraId="56B75B25" w14:textId="77777777" w:rsidR="00E462AD" w:rsidRDefault="00E462AD" w:rsidP="00760BA4">
            <w:r>
              <w:t>L’abandon d’un objectif éducatif</w:t>
            </w:r>
          </w:p>
        </w:tc>
        <w:tc>
          <w:tcPr>
            <w:tcW w:w="8674" w:type="dxa"/>
          </w:tcPr>
          <w:p w14:paraId="533087B0" w14:textId="77777777" w:rsidR="00E462AD" w:rsidRDefault="00E462AD" w:rsidP="00760BA4">
            <w:r>
              <w:t>L’apprentissage concourt aux objectifs éducatifs de la nation (</w:t>
            </w:r>
            <w:proofErr w:type="spellStart"/>
            <w:r>
              <w:t>art.L</w:t>
            </w:r>
            <w:proofErr w:type="spellEnd"/>
            <w:r>
              <w:t xml:space="preserve"> 6211-1).</w:t>
            </w:r>
          </w:p>
        </w:tc>
      </w:tr>
      <w:tr w:rsidR="00E462AD" w14:paraId="2B661A0D" w14:textId="77777777" w:rsidTr="00760BA4">
        <w:tc>
          <w:tcPr>
            <w:tcW w:w="6176" w:type="dxa"/>
          </w:tcPr>
          <w:p w14:paraId="27AE2317" w14:textId="77777777" w:rsidR="00E462AD" w:rsidRDefault="00E462AD" w:rsidP="00760BA4">
            <w:r>
              <w:t>Des diplômes aux rabais</w:t>
            </w:r>
          </w:p>
        </w:tc>
        <w:tc>
          <w:tcPr>
            <w:tcW w:w="8674" w:type="dxa"/>
          </w:tcPr>
          <w:p w14:paraId="5E84E585" w14:textId="77777777" w:rsidR="00E462AD" w:rsidRDefault="00E462AD" w:rsidP="00760BA4">
            <w:r>
              <w:t>Les apprentis se présentent aux mêmes examens pour valider les diplômes et titres du Répertoire National des Certifications Professionnelles.</w:t>
            </w:r>
          </w:p>
        </w:tc>
      </w:tr>
      <w:tr w:rsidR="00E462AD" w14:paraId="6CA5236A" w14:textId="77777777" w:rsidTr="00760BA4">
        <w:tc>
          <w:tcPr>
            <w:tcW w:w="6176" w:type="dxa"/>
          </w:tcPr>
          <w:p w14:paraId="07022C6F" w14:textId="77777777" w:rsidR="00E462AD" w:rsidRDefault="00E462AD" w:rsidP="00760BA4">
            <w:r>
              <w:t>Préparer les jeunes aux seules compétences professionnelles</w:t>
            </w:r>
          </w:p>
          <w:p w14:paraId="796F4B47" w14:textId="77777777" w:rsidR="00E462AD" w:rsidRDefault="00E462AD" w:rsidP="00760BA4"/>
        </w:tc>
        <w:tc>
          <w:tcPr>
            <w:tcW w:w="8674" w:type="dxa"/>
          </w:tcPr>
          <w:p w14:paraId="3DA7E265" w14:textId="77777777" w:rsidR="00E462AD" w:rsidRDefault="00E462AD" w:rsidP="00760BA4">
            <w:r>
              <w:t xml:space="preserve">Les apprentis acquièrent les fondamentaux de la culture générale pour se repérer et affronter un monde en mutation.  </w:t>
            </w:r>
          </w:p>
        </w:tc>
      </w:tr>
      <w:tr w:rsidR="00E462AD" w14:paraId="18648EE0" w14:textId="77777777" w:rsidTr="00760BA4">
        <w:tc>
          <w:tcPr>
            <w:tcW w:w="6176" w:type="dxa"/>
          </w:tcPr>
          <w:p w14:paraId="164C9AD6" w14:textId="77777777" w:rsidR="00E462AD" w:rsidRDefault="00E462AD" w:rsidP="00760BA4">
            <w:r>
              <w:t>L’abandon d’un accès à la culture</w:t>
            </w:r>
          </w:p>
        </w:tc>
        <w:tc>
          <w:tcPr>
            <w:tcW w:w="8674" w:type="dxa"/>
          </w:tcPr>
          <w:p w14:paraId="13DCCB01" w14:textId="77777777" w:rsidR="00E462AD" w:rsidRDefault="00E462AD" w:rsidP="00760BA4">
            <w:r>
              <w:t>Les apprentis, grâce aux CFA ont accès aux activités culturelles et citoyennes.</w:t>
            </w:r>
          </w:p>
        </w:tc>
      </w:tr>
      <w:tr w:rsidR="00E462AD" w14:paraId="3E1B84D5" w14:textId="77777777" w:rsidTr="00760BA4">
        <w:tc>
          <w:tcPr>
            <w:tcW w:w="6176" w:type="dxa"/>
          </w:tcPr>
          <w:p w14:paraId="64C9F2FA" w14:textId="77777777" w:rsidR="00E462AD" w:rsidRDefault="00E462AD" w:rsidP="00760BA4">
            <w:r>
              <w:t>Une situation de non droit</w:t>
            </w:r>
          </w:p>
        </w:tc>
        <w:tc>
          <w:tcPr>
            <w:tcW w:w="8674" w:type="dxa"/>
          </w:tcPr>
          <w:p w14:paraId="327B453A" w14:textId="77777777" w:rsidR="00E462AD" w:rsidRDefault="00E462AD" w:rsidP="00760BA4">
            <w:r>
              <w:t>L’apprenti dispose d’un contrat de travail,  qui le protège, avec un employeur dont les obligations sont encadrées et une grille de rémunération définies nationalement.</w:t>
            </w:r>
          </w:p>
        </w:tc>
      </w:tr>
      <w:tr w:rsidR="00E462AD" w14:paraId="13BFD0B4" w14:textId="77777777" w:rsidTr="00760BA4">
        <w:tc>
          <w:tcPr>
            <w:tcW w:w="6176" w:type="dxa"/>
          </w:tcPr>
          <w:p w14:paraId="40C3B326" w14:textId="77777777" w:rsidR="00E462AD" w:rsidRDefault="00E462AD" w:rsidP="00760BA4">
            <w:r>
              <w:t xml:space="preserve">De la main d’œuvre bon marché </w:t>
            </w:r>
          </w:p>
        </w:tc>
        <w:tc>
          <w:tcPr>
            <w:tcW w:w="8674" w:type="dxa"/>
          </w:tcPr>
          <w:p w14:paraId="2EBC957E" w14:textId="77777777" w:rsidR="00E462AD" w:rsidRDefault="00E462AD" w:rsidP="00760BA4">
            <w:r>
              <w:t>L’entreprise investit dans ce mode de formation dans une logique sociétale ou de Gestion Prévisionnelle des Emplois et des Compétences, sur un mode gagnant / gagnant.</w:t>
            </w:r>
          </w:p>
        </w:tc>
      </w:tr>
      <w:tr w:rsidR="00E462AD" w14:paraId="4248626D" w14:textId="77777777" w:rsidTr="00760BA4">
        <w:tc>
          <w:tcPr>
            <w:tcW w:w="6176" w:type="dxa"/>
          </w:tcPr>
          <w:p w14:paraId="40B63945" w14:textId="77777777" w:rsidR="00E462AD" w:rsidRDefault="00E462AD" w:rsidP="00760BA4">
            <w:r>
              <w:t>Que du CAP, ni réservé aux seuls métiers manuels</w:t>
            </w:r>
          </w:p>
        </w:tc>
        <w:tc>
          <w:tcPr>
            <w:tcW w:w="8674" w:type="dxa"/>
          </w:tcPr>
          <w:p w14:paraId="29BFE888" w14:textId="13A044F5" w:rsidR="00E462AD" w:rsidRDefault="00E462AD" w:rsidP="00760BA4">
            <w:r>
              <w:t>Un jeune peut préparer tout type de diplôme ou titre professionnel du CAP au Master.</w:t>
            </w:r>
          </w:p>
        </w:tc>
      </w:tr>
      <w:tr w:rsidR="00E462AD" w14:paraId="447CCB18" w14:textId="77777777" w:rsidTr="00760BA4">
        <w:tc>
          <w:tcPr>
            <w:tcW w:w="6176" w:type="dxa"/>
          </w:tcPr>
          <w:p w14:paraId="6DF4D233" w14:textId="77777777" w:rsidR="00E462AD" w:rsidRDefault="00E462AD" w:rsidP="00760BA4">
            <w:r>
              <w:t>Nécessairement ou seulement une voie d’insertion professionnelle directe</w:t>
            </w:r>
          </w:p>
        </w:tc>
        <w:tc>
          <w:tcPr>
            <w:tcW w:w="8674" w:type="dxa"/>
          </w:tcPr>
          <w:p w14:paraId="6430F03A" w14:textId="77777777" w:rsidR="00E462AD" w:rsidRDefault="00E462AD" w:rsidP="00760BA4">
            <w:r>
              <w:t>Une étape dans un parcours de formation tout au long de la vie</w:t>
            </w:r>
          </w:p>
        </w:tc>
      </w:tr>
      <w:tr w:rsidR="00E462AD" w14:paraId="611195F3" w14:textId="77777777" w:rsidTr="00760BA4">
        <w:tc>
          <w:tcPr>
            <w:tcW w:w="6176" w:type="dxa"/>
          </w:tcPr>
          <w:p w14:paraId="02883263" w14:textId="77777777" w:rsidR="00E462AD" w:rsidRDefault="00E462AD" w:rsidP="00760BA4">
            <w:r>
              <w:t>Une course aux chiffres : toujours plus d’apprentis !</w:t>
            </w:r>
          </w:p>
        </w:tc>
        <w:tc>
          <w:tcPr>
            <w:tcW w:w="8674" w:type="dxa"/>
          </w:tcPr>
          <w:p w14:paraId="3E01AB33" w14:textId="4C0B617F" w:rsidR="00E462AD" w:rsidRDefault="00E462AD" w:rsidP="00760BA4">
            <w:r>
              <w:t>La réunion de conditions tant matérielles qu’en ingénierie pédagogique.</w:t>
            </w:r>
          </w:p>
        </w:tc>
      </w:tr>
    </w:tbl>
    <w:p w14:paraId="658D44D9" w14:textId="29B27598" w:rsidR="00A97D37" w:rsidRPr="00E462AD" w:rsidRDefault="00A97D37" w:rsidP="00E462AD"/>
    <w:sectPr w:rsidR="00A97D37" w:rsidRPr="00E462AD" w:rsidSect="00E46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7E6F" w14:textId="77777777" w:rsidR="003330F6" w:rsidRDefault="003330F6" w:rsidP="00D457B0">
      <w:pPr>
        <w:spacing w:after="0" w:line="240" w:lineRule="auto"/>
      </w:pPr>
      <w:r>
        <w:separator/>
      </w:r>
    </w:p>
  </w:endnote>
  <w:endnote w:type="continuationSeparator" w:id="0">
    <w:p w14:paraId="5F45DDC5" w14:textId="77777777" w:rsidR="003330F6" w:rsidRDefault="003330F6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4885" w14:textId="28B18E69" w:rsidR="001742F7" w:rsidRPr="0097574A" w:rsidRDefault="00E462AD" w:rsidP="002D5629">
    <w:pPr>
      <w:pStyle w:val="Pieddepage"/>
      <w:tabs>
        <w:tab w:val="clear" w:pos="9072"/>
        <w:tab w:val="right" w:pos="10466"/>
      </w:tabs>
      <w:rPr>
        <w:sz w:val="18"/>
      </w:rPr>
    </w:pPr>
    <w:r>
      <w:rPr>
        <w:sz w:val="18"/>
      </w:rPr>
      <w:t>Idées reçues sur l’apprentissage</w:t>
    </w:r>
    <w:r w:rsidR="002D5629" w:rsidRPr="0097574A">
      <w:rPr>
        <w:sz w:val="18"/>
      </w:rPr>
      <w:tab/>
    </w:r>
    <w:r w:rsidR="00A97D37">
      <w:rPr>
        <w:sz w:val="18"/>
      </w:rPr>
      <w:tab/>
    </w:r>
    <w:r w:rsidR="002D5629" w:rsidRPr="0097574A">
      <w:rPr>
        <w:sz w:val="18"/>
      </w:rPr>
      <w:t xml:space="preserve">Page </w:t>
    </w:r>
    <w:r w:rsidR="002D5629" w:rsidRPr="0097574A">
      <w:rPr>
        <w:sz w:val="18"/>
      </w:rPr>
      <w:fldChar w:fldCharType="begin"/>
    </w:r>
    <w:r w:rsidR="002D5629" w:rsidRPr="0097574A">
      <w:rPr>
        <w:sz w:val="18"/>
      </w:rPr>
      <w:instrText xml:space="preserve"> PAGE   \* MERGEFORMAT </w:instrText>
    </w:r>
    <w:r w:rsidR="002D5629"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="002D5629" w:rsidRPr="0097574A">
      <w:rPr>
        <w:sz w:val="18"/>
      </w:rPr>
      <w:fldChar w:fldCharType="end"/>
    </w:r>
    <w:r w:rsidR="002D5629" w:rsidRPr="0097574A">
      <w:rPr>
        <w:sz w:val="18"/>
      </w:rPr>
      <w:t>/</w:t>
    </w:r>
    <w:r w:rsidR="002D5629" w:rsidRPr="0097574A">
      <w:rPr>
        <w:sz w:val="18"/>
      </w:rPr>
      <w:fldChar w:fldCharType="begin"/>
    </w:r>
    <w:r w:rsidR="002D5629" w:rsidRPr="0097574A">
      <w:rPr>
        <w:sz w:val="18"/>
      </w:rPr>
      <w:instrText xml:space="preserve"> NUMPAGES   \* MERGEFORMAT </w:instrText>
    </w:r>
    <w:r w:rsidR="002D5629"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="002D5629"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0DB12D0D" w:rsidR="00352622" w:rsidRPr="00A97D37" w:rsidRDefault="00E462AD" w:rsidP="00A97D37">
    <w:pPr>
      <w:jc w:val="both"/>
      <w:rPr>
        <w:sz w:val="18"/>
        <w:szCs w:val="18"/>
      </w:rPr>
    </w:pPr>
    <w:r>
      <w:t>Idées reçues sur l’apprentissage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B2C4" w14:textId="77777777" w:rsidR="003330F6" w:rsidRDefault="003330F6" w:rsidP="00D457B0">
      <w:pPr>
        <w:spacing w:after="0" w:line="240" w:lineRule="auto"/>
      </w:pPr>
      <w:r>
        <w:separator/>
      </w:r>
    </w:p>
  </w:footnote>
  <w:footnote w:type="continuationSeparator" w:id="0">
    <w:p w14:paraId="00C4C526" w14:textId="77777777" w:rsidR="003330F6" w:rsidRDefault="003330F6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r w:rsidR="003330F6">
      <w:fldChar w:fldCharType="begin"/>
    </w:r>
    <w:r w:rsidR="003330F6">
      <w:instrText xml:space="preserve"> NUMPAGES   \* MERGEFORMAT </w:instrText>
    </w:r>
    <w:r w:rsidR="003330F6">
      <w:fldChar w:fldCharType="separate"/>
    </w:r>
    <w:r w:rsidR="002D5629">
      <w:rPr>
        <w:noProof/>
      </w:rPr>
      <w:t>3</w:t>
    </w:r>
    <w:r w:rsidR="003330F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10D46FB9" w:rsidR="00A97D37" w:rsidRDefault="00E462AD" w:rsidP="00E462AD">
    <w:pPr>
      <w:pStyle w:val="grandtitr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113C44B9">
          <wp:simplePos x="0" y="0"/>
          <wp:positionH relativeFrom="column">
            <wp:posOffset>-74874</wp:posOffset>
          </wp:positionH>
          <wp:positionV relativeFrom="paragraph">
            <wp:posOffset>-411678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55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CC2">
      <w:t>L’APPRENTISSAGE</w:t>
    </w:r>
    <w:r>
      <w:t> </w:t>
    </w:r>
    <w:r w:rsidRPr="00EA7CC2">
      <w:t>IDEES RECUES A COMBATTRE</w:t>
    </w:r>
    <w:r>
      <w:t xml:space="preserve"> : pour les conseillers / les parents / l’Education nationale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6"/>
  </w:num>
  <w:num w:numId="5">
    <w:abstractNumId w:val="34"/>
  </w:num>
  <w:num w:numId="6">
    <w:abstractNumId w:val="1"/>
  </w:num>
  <w:num w:numId="7">
    <w:abstractNumId w:val="23"/>
  </w:num>
  <w:num w:numId="8">
    <w:abstractNumId w:val="35"/>
  </w:num>
  <w:num w:numId="9">
    <w:abstractNumId w:val="25"/>
  </w:num>
  <w:num w:numId="10">
    <w:abstractNumId w:val="45"/>
  </w:num>
  <w:num w:numId="11">
    <w:abstractNumId w:val="19"/>
  </w:num>
  <w:num w:numId="12">
    <w:abstractNumId w:val="3"/>
  </w:num>
  <w:num w:numId="13">
    <w:abstractNumId w:val="13"/>
  </w:num>
  <w:num w:numId="14">
    <w:abstractNumId w:val="37"/>
  </w:num>
  <w:num w:numId="15">
    <w:abstractNumId w:val="31"/>
  </w:num>
  <w:num w:numId="16">
    <w:abstractNumId w:val="42"/>
  </w:num>
  <w:num w:numId="17">
    <w:abstractNumId w:val="44"/>
  </w:num>
  <w:num w:numId="18">
    <w:abstractNumId w:val="40"/>
  </w:num>
  <w:num w:numId="19">
    <w:abstractNumId w:val="7"/>
  </w:num>
  <w:num w:numId="20">
    <w:abstractNumId w:val="32"/>
  </w:num>
  <w:num w:numId="21">
    <w:abstractNumId w:val="24"/>
  </w:num>
  <w:num w:numId="22">
    <w:abstractNumId w:val="5"/>
  </w:num>
  <w:num w:numId="23">
    <w:abstractNumId w:val="21"/>
  </w:num>
  <w:num w:numId="24">
    <w:abstractNumId w:val="38"/>
  </w:num>
  <w:num w:numId="25">
    <w:abstractNumId w:val="20"/>
  </w:num>
  <w:num w:numId="26">
    <w:abstractNumId w:val="39"/>
  </w:num>
  <w:num w:numId="27">
    <w:abstractNumId w:val="9"/>
  </w:num>
  <w:num w:numId="28">
    <w:abstractNumId w:val="36"/>
  </w:num>
  <w:num w:numId="29">
    <w:abstractNumId w:val="30"/>
  </w:num>
  <w:num w:numId="30">
    <w:abstractNumId w:val="15"/>
  </w:num>
  <w:num w:numId="31">
    <w:abstractNumId w:val="22"/>
  </w:num>
  <w:num w:numId="32">
    <w:abstractNumId w:val="8"/>
  </w:num>
  <w:num w:numId="33">
    <w:abstractNumId w:val="12"/>
  </w:num>
  <w:num w:numId="34">
    <w:abstractNumId w:val="27"/>
  </w:num>
  <w:num w:numId="35">
    <w:abstractNumId w:val="2"/>
  </w:num>
  <w:num w:numId="36">
    <w:abstractNumId w:val="41"/>
  </w:num>
  <w:num w:numId="37">
    <w:abstractNumId w:val="0"/>
  </w:num>
  <w:num w:numId="38">
    <w:abstractNumId w:val="14"/>
  </w:num>
  <w:num w:numId="39">
    <w:abstractNumId w:val="4"/>
  </w:num>
  <w:num w:numId="40">
    <w:abstractNumId w:val="18"/>
  </w:num>
  <w:num w:numId="41">
    <w:abstractNumId w:val="43"/>
  </w:num>
  <w:num w:numId="42">
    <w:abstractNumId w:val="11"/>
  </w:num>
  <w:num w:numId="43">
    <w:abstractNumId w:val="33"/>
  </w:num>
  <w:num w:numId="44">
    <w:abstractNumId w:val="29"/>
  </w:num>
  <w:num w:numId="45">
    <w:abstractNumId w:val="1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D5629"/>
    <w:rsid w:val="002E4D35"/>
    <w:rsid w:val="003016BE"/>
    <w:rsid w:val="003330F6"/>
    <w:rsid w:val="00352622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62367"/>
    <w:rsid w:val="008B52A2"/>
    <w:rsid w:val="008D072D"/>
    <w:rsid w:val="008F4F93"/>
    <w:rsid w:val="0095165E"/>
    <w:rsid w:val="0097574A"/>
    <w:rsid w:val="00980BD8"/>
    <w:rsid w:val="00984B1F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462AD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  <w:style w:type="table" w:styleId="Grilledutableau">
    <w:name w:val="Table Grid"/>
    <w:basedOn w:val="TableauNormal"/>
    <w:uiPriority w:val="59"/>
    <w:rsid w:val="00E462A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3</cp:revision>
  <dcterms:created xsi:type="dcterms:W3CDTF">2020-02-21T15:44:00Z</dcterms:created>
  <dcterms:modified xsi:type="dcterms:W3CDTF">2020-02-24T10:56:00Z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