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CE38" w14:textId="1D233DC1" w:rsidR="00832476" w:rsidRDefault="00832476" w:rsidP="00832476">
      <w:pPr>
        <w:pStyle w:val="grandtitre"/>
      </w:pPr>
      <w:r>
        <w:t>Conseils pour favoriser l’a</w:t>
      </w:r>
      <w:r w:rsidRPr="002F4ECD">
        <w:t>ppropriation des règles</w:t>
      </w:r>
    </w:p>
    <w:p w14:paraId="5049FA1E" w14:textId="6686345D" w:rsidR="00832476" w:rsidRDefault="00832476" w:rsidP="00832476">
      <w:pPr>
        <w:pStyle w:val="Titre1"/>
      </w:pPr>
      <w:r>
        <w:t>Pourquoi ?</w:t>
      </w:r>
    </w:p>
    <w:p w14:paraId="410D3261" w14:textId="77777777" w:rsidR="00832476" w:rsidRDefault="00832476" w:rsidP="00832476">
      <w:pPr>
        <w:jc w:val="both"/>
      </w:pPr>
      <w:r>
        <w:t xml:space="preserve">Les jeunes ne se montrent pas hostiles aux règles lorsque celles-ci ont du sens et qu’elles sont appliquées de manière équitable. </w:t>
      </w:r>
    </w:p>
    <w:p w14:paraId="32529924" w14:textId="77777777" w:rsidR="00832476" w:rsidRPr="002F4ECD" w:rsidRDefault="00832476" w:rsidP="00832476">
      <w:pPr>
        <w:jc w:val="both"/>
        <w:rPr>
          <w:b/>
          <w:bCs/>
        </w:rPr>
      </w:pPr>
      <w:r>
        <w:t xml:space="preserve">À ce propos, il est fondamental </w:t>
      </w:r>
      <w:r w:rsidRPr="002F4ECD">
        <w:rPr>
          <w:b/>
          <w:bCs/>
        </w:rPr>
        <w:t xml:space="preserve">d’expliciter la règle et de la formaliser par écrit afin de ne pas laisser d’ambiguïté sur son application. </w:t>
      </w:r>
    </w:p>
    <w:p w14:paraId="25C9D51E" w14:textId="77777777" w:rsidR="00832476" w:rsidRPr="002F4ECD" w:rsidRDefault="00832476" w:rsidP="00832476">
      <w:pPr>
        <w:jc w:val="both"/>
      </w:pPr>
      <w:r>
        <w:t xml:space="preserve"> Ce qui pouvait être compris de manière implicite par le passé </w:t>
      </w:r>
      <w:r w:rsidRPr="002F4ECD">
        <w:rPr>
          <w:b/>
          <w:bCs/>
        </w:rPr>
        <w:t>doit être explicite aujourd’hui.</w:t>
      </w:r>
    </w:p>
    <w:p w14:paraId="4B01ADF9" w14:textId="77777777" w:rsidR="00832476" w:rsidRDefault="00832476" w:rsidP="00832476">
      <w:pPr>
        <w:pStyle w:val="Titre1"/>
      </w:pPr>
      <w:r>
        <w:t>Comment ?</w:t>
      </w:r>
    </w:p>
    <w:p w14:paraId="1A7C0DA4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Être au clair sur ce qui n’est pas négociable</w:t>
      </w:r>
    </w:p>
    <w:p w14:paraId="2423FA70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Éviter l’inflation des règles inutiles (crédibilité)</w:t>
      </w:r>
    </w:p>
    <w:p w14:paraId="134B5476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Disposer d’une formulation qui ne laisse pas d’ambigüité </w:t>
      </w:r>
    </w:p>
    <w:p w14:paraId="4BF3E811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Aborder ouvertement les différences de perception selon les générations sur l’utilité des règles </w:t>
      </w:r>
    </w:p>
    <w:p w14:paraId="671AACAA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Donner du sens aux règles : besoin d’en comprendre la logique</w:t>
      </w:r>
    </w:p>
    <w:p w14:paraId="055EE375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Renverser la charge de la preuve : liberté offerte à l’intérieur du cadre</w:t>
      </w:r>
    </w:p>
    <w:p w14:paraId="2448AFFC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Redéfinir les règles selon un mode positif : « vous veillerez bien à rallumer vos portables… »</w:t>
      </w:r>
    </w:p>
    <w:p w14:paraId="13941E08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Connecter les règles aux valeurs et bénéfices que le jeune pourra tirer du respect de la règle en termes d’image ou de confort de travail par exemple</w:t>
      </w:r>
    </w:p>
    <w:p w14:paraId="3450D753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« Siffler tous les hors-jeu » le plus tôt possible</w:t>
      </w:r>
    </w:p>
    <w:p w14:paraId="1C614A65" w14:textId="77777777" w:rsidR="00832476" w:rsidRDefault="00832476" w:rsidP="00832476">
      <w:pPr>
        <w:pStyle w:val="Paragraphedeliste"/>
        <w:numPr>
          <w:ilvl w:val="0"/>
          <w:numId w:val="47"/>
        </w:numPr>
        <w:spacing w:after="160" w:line="259" w:lineRule="auto"/>
      </w:pPr>
      <w:r>
        <w:t>Utiliser les analogies avec leur propre univers : musique, famille, sport…</w:t>
      </w:r>
    </w:p>
    <w:p w14:paraId="5B6FC3DB" w14:textId="77777777" w:rsidR="00832476" w:rsidRDefault="00832476" w:rsidP="00832476">
      <w:pPr>
        <w:pStyle w:val="Titre1"/>
      </w:pPr>
      <w:r>
        <w:t xml:space="preserve">Les plus : </w:t>
      </w:r>
    </w:p>
    <w:p w14:paraId="69B9871E" w14:textId="77777777" w:rsidR="00832476" w:rsidRPr="007F6904" w:rsidRDefault="00832476" w:rsidP="00832476">
      <w:r w:rsidRPr="007F6904">
        <w:t>L’élément central avec le jeune est l’exemplarité : il ne faut pas lui demander ce que l’on ne s’impose pas soi-même</w:t>
      </w:r>
      <w:r>
        <w:t>…</w:t>
      </w:r>
    </w:p>
    <w:p w14:paraId="658D44D9" w14:textId="29B27598" w:rsidR="00A97D37" w:rsidRPr="00832476" w:rsidRDefault="00A97D37" w:rsidP="00832476">
      <w:bookmarkStart w:id="0" w:name="_GoBack"/>
      <w:bookmarkEnd w:id="0"/>
    </w:p>
    <w:sectPr w:rsidR="00A97D37" w:rsidRPr="00832476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8065" w14:textId="77777777" w:rsidR="00FD0A70" w:rsidRDefault="00FD0A70" w:rsidP="00D457B0">
      <w:pPr>
        <w:spacing w:after="0" w:line="240" w:lineRule="auto"/>
      </w:pPr>
      <w:r>
        <w:separator/>
      </w:r>
    </w:p>
  </w:endnote>
  <w:endnote w:type="continuationSeparator" w:id="0">
    <w:p w14:paraId="7599FBB6" w14:textId="77777777" w:rsidR="00FD0A70" w:rsidRDefault="00FD0A70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C7D6" w14:textId="77777777" w:rsidR="00832476" w:rsidRDefault="00832476" w:rsidP="00832476">
    <w:pPr>
      <w:pStyle w:val="En-tte"/>
    </w:pPr>
    <w:r>
      <w:t>Conseils pour favoriser l’a</w:t>
    </w:r>
    <w:r w:rsidRPr="002F4ECD">
      <w:t>ppropriation des règles</w:t>
    </w: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981C" w14:textId="77777777" w:rsidR="00FD0A70" w:rsidRDefault="00FD0A70" w:rsidP="00D457B0">
      <w:pPr>
        <w:spacing w:after="0" w:line="240" w:lineRule="auto"/>
      </w:pPr>
      <w:r>
        <w:separator/>
      </w:r>
    </w:p>
  </w:footnote>
  <w:footnote w:type="continuationSeparator" w:id="0">
    <w:p w14:paraId="3430BA76" w14:textId="77777777" w:rsidR="00FD0A70" w:rsidRDefault="00FD0A70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564A60"/>
    <w:multiLevelType w:val="hybridMultilevel"/>
    <w:tmpl w:val="0D3ABDCE"/>
    <w:lvl w:ilvl="0" w:tplc="EC143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6"/>
  </w:num>
  <w:num w:numId="11">
    <w:abstractNumId w:val="19"/>
  </w:num>
  <w:num w:numId="12">
    <w:abstractNumId w:val="3"/>
  </w:num>
  <w:num w:numId="13">
    <w:abstractNumId w:val="13"/>
  </w:num>
  <w:num w:numId="14">
    <w:abstractNumId w:val="38"/>
  </w:num>
  <w:num w:numId="15">
    <w:abstractNumId w:val="31"/>
  </w:num>
  <w:num w:numId="16">
    <w:abstractNumId w:val="43"/>
  </w:num>
  <w:num w:numId="17">
    <w:abstractNumId w:val="45"/>
  </w:num>
  <w:num w:numId="18">
    <w:abstractNumId w:val="41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9"/>
  </w:num>
  <w:num w:numId="25">
    <w:abstractNumId w:val="20"/>
  </w:num>
  <w:num w:numId="26">
    <w:abstractNumId w:val="40"/>
  </w:num>
  <w:num w:numId="27">
    <w:abstractNumId w:val="9"/>
  </w:num>
  <w:num w:numId="28">
    <w:abstractNumId w:val="37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4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32476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2020-01-22T11:10:00Z</dcterms:created>
  <dcterms:modified xsi:type="dcterms:W3CDTF">2020-01-22T11:10:00Z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